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4D3A2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北京市朝阳区宣传文化中心</w:t>
      </w:r>
      <w:r>
        <w:rPr>
          <w:rFonts w:hint="eastAsia" w:ascii="方正小标宋简体" w:eastAsia="方正小标宋简体"/>
          <w:sz w:val="36"/>
          <w:szCs w:val="36"/>
        </w:rPr>
        <w:t>部门整体绩效评价报告</w:t>
      </w:r>
    </w:p>
    <w:p w14:paraId="69B1898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 w14:paraId="33BF3D5D">
      <w:pPr>
        <w:jc w:val="center"/>
        <w:rPr>
          <w:rFonts w:ascii="仿宋_GB2312"/>
          <w:szCs w:val="30"/>
        </w:rPr>
      </w:pPr>
    </w:p>
    <w:p w14:paraId="47045E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 w14:paraId="02E8C4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 w14:paraId="0561B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1.部门机构设置情况</w:t>
      </w:r>
    </w:p>
    <w:p w14:paraId="05BBA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北京市朝阳区宣传文化中心（简称区宣传文化中心）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区政府直属公益一类事业单位，机构规格正处级，经费形式为财政补助（全额），</w:t>
      </w:r>
      <w:r>
        <w:rPr>
          <w:rFonts w:hint="eastAsia" w:ascii="仿宋_GB2312" w:hAnsi="黑体" w:eastAsia="仿宋_GB2312"/>
          <w:sz w:val="32"/>
          <w:szCs w:val="32"/>
        </w:rPr>
        <w:t>本单位内设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黑体" w:eastAsia="仿宋_GB2312"/>
          <w:sz w:val="32"/>
          <w:szCs w:val="32"/>
        </w:rPr>
        <w:t>个科室，分别为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综合办公室、研究室、宣传教育科、新时代文明实践建设科、文明城区建设指导科、文化建设一科、文化建设二科、文化建设三科、文化建设四科、规划成就展示一科、规划成就展示二科、非物质文化遗产科、京剧艺术科、旅游服务科、组织人事科、财务审计科、信息技术科。</w:t>
      </w:r>
    </w:p>
    <w:p w14:paraId="144AF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2.部门职能情况</w:t>
      </w:r>
    </w:p>
    <w:p w14:paraId="1315A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组织开展爱国主义教育、形势政策教育和革命传统教育等活动。</w:t>
      </w:r>
    </w:p>
    <w:p w14:paraId="29735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承担区级新时代文明实践中心相关工作，指导基层所、站、基地开展文明实践工作。</w:t>
      </w:r>
    </w:p>
    <w:p w14:paraId="60F23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</w:rPr>
        <w:t>承担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全区文明城区创建服务工作，指导各单位开展文明城区常态化创建工作。</w:t>
      </w:r>
    </w:p>
    <w:p w14:paraId="6C0D8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sz w:val="32"/>
          <w:szCs w:val="32"/>
        </w:rPr>
        <w:t>构建并完善文化馆总分馆制，负责区级、地区级文化中心建设及全区文化配套设施的管理。负责提供基本公共文化服务，策划、组织、实施群众性文化活动。</w:t>
      </w:r>
    </w:p>
    <w:p w14:paraId="7B3AF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负责本区规划和建设成就的展示，组织相关的艺术交流和文化创意活动。</w:t>
      </w:r>
    </w:p>
    <w:p w14:paraId="2D01E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负责本区非物质文化遗产保护和传承利用、京剧艺术普及推广，组织开展对外文化交流合作活动。</w:t>
      </w:r>
    </w:p>
    <w:p w14:paraId="377C6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（7）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负责本区旅游咨询服务、旅游统计工作，管理全区旅游咨询站点。开展文化、旅游创意产品开发和旅游消费促进工作。</w:t>
      </w:r>
    </w:p>
    <w:p w14:paraId="34F97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（8）</w:t>
      </w:r>
      <w:r>
        <w:rPr>
          <w:rFonts w:hint="eastAsia" w:ascii="仿宋_GB2312" w:hAnsi="仿宋_GB2312" w:eastAsia="仿宋_GB2312" w:cs="仿宋_GB2312"/>
          <w:sz w:val="32"/>
          <w:szCs w:val="32"/>
        </w:rPr>
        <w:t>协助开展意识形态安全、文化安全和推进全国文化中心建设相关的研究、会议、培训等事务性、辅助性工作。</w:t>
      </w:r>
    </w:p>
    <w:p w14:paraId="5BC50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（9）完成区委、区政府交办的其他任务。</w:t>
      </w:r>
    </w:p>
    <w:p w14:paraId="5C279C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3.工作任务完成情况</w:t>
      </w:r>
    </w:p>
    <w:p w14:paraId="346F128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/>
          <w:b/>
          <w:bCs w:val="0"/>
          <w:sz w:val="32"/>
          <w:szCs w:val="32"/>
          <w:highlight w:val="none"/>
          <w:lang w:eastAsia="zh-CN"/>
        </w:rPr>
        <w:t>一是</w:t>
      </w:r>
      <w:r>
        <w:rPr>
          <w:rFonts w:hint="default" w:ascii="Times New Roman" w:hAnsi="Times New Roman" w:eastAsia="仿宋_GB2312"/>
          <w:b/>
          <w:bCs w:val="0"/>
          <w:sz w:val="32"/>
          <w:szCs w:val="32"/>
          <w:highlight w:val="none"/>
          <w:lang w:val="en-US" w:eastAsia="zh-CN"/>
        </w:rPr>
        <w:t>深耕理论宣传</w:t>
      </w:r>
      <w:r>
        <w:rPr>
          <w:rFonts w:hint="default" w:ascii="Times New Roman" w:hAnsi="Times New Roman" w:eastAsia="仿宋_GB2312"/>
          <w:b/>
          <w:bCs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/>
          <w:b/>
          <w:bCs w:val="0"/>
          <w:sz w:val="32"/>
          <w:szCs w:val="32"/>
          <w:highlight w:val="none"/>
          <w:lang w:val="en-US" w:eastAsia="zh-CN"/>
        </w:rPr>
        <w:t>推动</w:t>
      </w:r>
      <w:r>
        <w:rPr>
          <w:rFonts w:hint="eastAsia" w:ascii="Times New Roman" w:hAnsi="Times New Roman" w:eastAsia="仿宋_GB2312"/>
          <w:b/>
          <w:bCs w:val="0"/>
          <w:sz w:val="32"/>
          <w:szCs w:val="32"/>
          <w:highlight w:val="none"/>
          <w:lang w:val="en-US" w:eastAsia="zh-CN"/>
        </w:rPr>
        <w:t>党的</w:t>
      </w:r>
      <w:r>
        <w:rPr>
          <w:rFonts w:hint="default" w:ascii="Times New Roman" w:hAnsi="Times New Roman" w:eastAsia="仿宋_GB2312"/>
          <w:b/>
          <w:bCs w:val="0"/>
          <w:sz w:val="32"/>
          <w:szCs w:val="32"/>
          <w:highlight w:val="none"/>
          <w:lang w:val="en-US" w:eastAsia="zh-CN"/>
        </w:rPr>
        <w:t>创新理论</w:t>
      </w:r>
      <w:r>
        <w:rPr>
          <w:rFonts w:hint="default" w:ascii="Times New Roman" w:hAnsi="Times New Roman" w:eastAsia="仿宋_GB2312"/>
          <w:b/>
          <w:bCs w:val="0"/>
          <w:sz w:val="32"/>
          <w:szCs w:val="32"/>
          <w:highlight w:val="none"/>
          <w:lang w:eastAsia="zh-CN"/>
        </w:rPr>
        <w:t>入脑入心。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组织各类政策、理论宣讲</w:t>
      </w:r>
      <w:r>
        <w:rPr>
          <w:rFonts w:hint="eastAsia" w:eastAsia="仿宋_GB2312"/>
          <w:bCs/>
          <w:sz w:val="32"/>
          <w:szCs w:val="32"/>
          <w:highlight w:val="none"/>
          <w:lang w:val="en-US" w:eastAsia="zh-CN"/>
        </w:rPr>
        <w:t>百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余场</w:t>
      </w:r>
      <w:r>
        <w:rPr>
          <w:rFonts w:hint="eastAsia" w:eastAsia="仿宋_GB2312"/>
          <w:bCs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开展沉浸式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体验学习活动</w:t>
      </w:r>
      <w:r>
        <w:rPr>
          <w:rFonts w:hint="eastAsia" w:eastAsia="仿宋_GB2312"/>
          <w:bCs/>
          <w:sz w:val="32"/>
          <w:szCs w:val="32"/>
          <w:highlight w:val="none"/>
          <w:lang w:val="en-US" w:eastAsia="zh-CN"/>
        </w:rPr>
        <w:t>数十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场</w:t>
      </w:r>
      <w:r>
        <w:rPr>
          <w:rFonts w:hint="eastAsia" w:eastAsia="仿宋_GB2312"/>
          <w:bCs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</w:rPr>
        <w:t>发起线上答题活动</w:t>
      </w:r>
      <w:r>
        <w:rPr>
          <w:rFonts w:hint="eastAsia" w:eastAsia="仿宋_GB2312"/>
          <w:bCs/>
          <w:sz w:val="32"/>
          <w:szCs w:val="32"/>
          <w:highlight w:val="none"/>
          <w:lang w:val="en-US" w:eastAsia="zh-CN"/>
        </w:rPr>
        <w:t>数十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场。</w:t>
      </w:r>
    </w:p>
    <w:p w14:paraId="582C0CDD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仿宋_GB2312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highlight w:val="none"/>
          <w:lang w:val="en-US" w:eastAsia="zh-CN"/>
        </w:rPr>
        <w:t>二是拓展实践场景，展现文明新风尚。</w:t>
      </w:r>
      <w:r>
        <w:rPr>
          <w:rFonts w:ascii="Times New Roman" w:hAnsi="Times New Roman" w:eastAsia="仿宋_GB2312"/>
          <w:bCs/>
          <w:sz w:val="32"/>
          <w:szCs w:val="32"/>
          <w:highlight w:val="none"/>
        </w:rPr>
        <w:t>举办区新时代文明实践中心等各类文明实践活动</w:t>
      </w:r>
      <w:r>
        <w:rPr>
          <w:rFonts w:hint="eastAsia" w:eastAsia="仿宋_GB2312"/>
          <w:bCs/>
          <w:sz w:val="32"/>
          <w:szCs w:val="32"/>
          <w:highlight w:val="none"/>
          <w:lang w:eastAsia="zh-CN"/>
        </w:rPr>
        <w:t>百</w:t>
      </w:r>
      <w:r>
        <w:rPr>
          <w:rFonts w:ascii="Times New Roman" w:hAnsi="Times New Roman" w:eastAsia="仿宋_GB2312"/>
          <w:bCs/>
          <w:sz w:val="32"/>
          <w:szCs w:val="32"/>
          <w:highlight w:val="none"/>
        </w:rPr>
        <w:t>余场，引领文明新风尚。</w:t>
      </w:r>
    </w:p>
    <w:p w14:paraId="430B8E3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rightChars="0"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highlight w:val="none"/>
          <w:lang w:val="en-US" w:eastAsia="zh-CN"/>
        </w:rPr>
        <w:t>三是提升服务效能，满足群众美好生活期待。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开展文化活动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千场，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公益电影</w:t>
      </w:r>
      <w:r>
        <w:rPr>
          <w:rFonts w:ascii="Times New Roman" w:hAnsi="Times New Roman" w:eastAsia="仿宋_GB2312"/>
          <w:sz w:val="32"/>
          <w:szCs w:val="32"/>
          <w:highlight w:val="none"/>
        </w:rPr>
        <w:t>放映活动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数千</w:t>
      </w:r>
      <w:r>
        <w:rPr>
          <w:rFonts w:ascii="Times New Roman" w:hAnsi="Times New Roman" w:eastAsia="仿宋_GB2312"/>
          <w:sz w:val="32"/>
          <w:szCs w:val="32"/>
          <w:highlight w:val="none"/>
        </w:rPr>
        <w:t>场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ascii="Times New Roman" w:hAnsi="Times New Roman" w:eastAsia="仿宋_GB2312"/>
          <w:kern w:val="2"/>
          <w:sz w:val="32"/>
          <w:szCs w:val="32"/>
          <w:highlight w:val="none"/>
        </w:rPr>
        <w:t>开</w:t>
      </w:r>
      <w:r>
        <w:rPr>
          <w:rFonts w:hint="eastAsia" w:eastAsia="仿宋_GB2312"/>
          <w:kern w:val="2"/>
          <w:sz w:val="32"/>
          <w:szCs w:val="32"/>
          <w:highlight w:val="none"/>
          <w:lang w:eastAsia="zh-CN"/>
        </w:rPr>
        <w:t>展</w:t>
      </w:r>
      <w:r>
        <w:rPr>
          <w:rFonts w:ascii="Times New Roman" w:hAnsi="Times New Roman" w:eastAsia="仿宋_GB2312"/>
          <w:kern w:val="2"/>
          <w:sz w:val="32"/>
          <w:szCs w:val="32"/>
          <w:highlight w:val="none"/>
        </w:rPr>
        <w:t>各类美育培训</w:t>
      </w:r>
      <w:r>
        <w:rPr>
          <w:rFonts w:hint="eastAsia" w:ascii="Times New Roman" w:hAnsi="Times New Roman" w:eastAsia="仿宋_GB2312"/>
          <w:kern w:val="2"/>
          <w:sz w:val="32"/>
          <w:szCs w:val="32"/>
          <w:highlight w:val="none"/>
          <w:lang w:val="en-US" w:eastAsia="zh-CN"/>
        </w:rPr>
        <w:t>辅</w:t>
      </w:r>
      <w:r>
        <w:rPr>
          <w:rFonts w:ascii="Times New Roman" w:hAnsi="Times New Roman" w:eastAsia="仿宋_GB2312"/>
          <w:kern w:val="2"/>
          <w:sz w:val="32"/>
          <w:szCs w:val="32"/>
          <w:highlight w:val="none"/>
        </w:rPr>
        <w:t>导</w:t>
      </w:r>
      <w:r>
        <w:rPr>
          <w:rFonts w:hint="eastAsia" w:eastAsia="仿宋_GB2312"/>
          <w:kern w:val="2"/>
          <w:sz w:val="32"/>
          <w:szCs w:val="32"/>
          <w:highlight w:val="none"/>
          <w:lang w:eastAsia="zh-CN"/>
        </w:rPr>
        <w:t>千</w:t>
      </w:r>
      <w:r>
        <w:rPr>
          <w:rFonts w:ascii="Times New Roman" w:hAnsi="Times New Roman" w:eastAsia="仿宋_GB2312"/>
          <w:kern w:val="2"/>
          <w:sz w:val="32"/>
          <w:szCs w:val="32"/>
          <w:highlight w:val="none"/>
        </w:rPr>
        <w:t>场次</w:t>
      </w:r>
      <w:r>
        <w:rPr>
          <w:rFonts w:hint="eastAsia" w:eastAsia="仿宋_GB2312"/>
          <w:kern w:val="2"/>
          <w:sz w:val="32"/>
          <w:szCs w:val="32"/>
          <w:highlight w:val="none"/>
          <w:lang w:eastAsia="zh-CN"/>
        </w:rPr>
        <w:t>，开展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新时代文明实践活动</w:t>
      </w:r>
      <w:r>
        <w:rPr>
          <w:rFonts w:hint="eastAsia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场，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完成朝阳宣传文化服务平台优化升级。</w:t>
      </w:r>
    </w:p>
    <w:p w14:paraId="4D7FB64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highlight w:val="none"/>
          <w:lang w:val="en-US" w:eastAsia="zh-CN"/>
        </w:rPr>
        <w:t>四是坚持</w:t>
      </w:r>
      <w:r>
        <w:rPr>
          <w:rFonts w:hint="eastAsia" w:ascii="Times New Roman" w:hAnsi="Times New Roman" w:eastAsia="仿宋_GB2312" w:cs="Times New Roman"/>
          <w:b/>
          <w:bCs w:val="0"/>
          <w:sz w:val="32"/>
          <w:szCs w:val="32"/>
          <w:highlight w:val="none"/>
          <w:lang w:val="en-US" w:eastAsia="zh-CN"/>
        </w:rPr>
        <w:t>守正创新</w:t>
      </w: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highlight w:val="none"/>
          <w:lang w:val="en-US" w:eastAsia="zh-CN"/>
        </w:rPr>
        <w:t>，弘扬</w:t>
      </w:r>
      <w:r>
        <w:rPr>
          <w:rFonts w:hint="eastAsia" w:ascii="Times New Roman" w:hAnsi="Times New Roman" w:eastAsia="仿宋_GB2312" w:cs="Times New Roman"/>
          <w:b/>
          <w:bCs w:val="0"/>
          <w:sz w:val="32"/>
          <w:szCs w:val="32"/>
          <w:highlight w:val="none"/>
          <w:lang w:val="en-US" w:eastAsia="zh-CN"/>
        </w:rPr>
        <w:t>中华</w:t>
      </w: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highlight w:val="none"/>
          <w:lang w:val="en-US" w:eastAsia="zh-CN"/>
        </w:rPr>
        <w:t>优秀传统文化。</w:t>
      </w:r>
      <w:r>
        <w:rPr>
          <w:rFonts w:hint="default" w:ascii="Times New Roman" w:hAnsi="Times New Roman" w:eastAsia="仿宋_GB2312"/>
          <w:sz w:val="32"/>
          <w:szCs w:val="32"/>
          <w:highlight w:val="none"/>
        </w:rPr>
        <w:t>加强非遗项目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创新</w:t>
      </w:r>
      <w:r>
        <w:rPr>
          <w:rFonts w:hint="default" w:ascii="Times New Roman" w:hAnsi="Times New Roman" w:eastAsia="仿宋_GB2312"/>
          <w:sz w:val="32"/>
          <w:szCs w:val="32"/>
          <w:highlight w:val="none"/>
        </w:rPr>
        <w:t>扶持，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开展</w:t>
      </w:r>
      <w:r>
        <w:rPr>
          <w:rFonts w:hint="default" w:ascii="Times New Roman" w:hAnsi="Times New Roman" w:eastAsia="仿宋_GB2312"/>
          <w:sz w:val="32"/>
          <w:szCs w:val="32"/>
          <w:highlight w:val="none"/>
          <w:lang w:eastAsia="zh-CN"/>
        </w:rPr>
        <w:t>系列原创品牌活动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数百</w:t>
      </w:r>
      <w:r>
        <w:rPr>
          <w:rFonts w:ascii="Times New Roman" w:hAnsi="Times New Roman" w:eastAsia="仿宋_GB2312"/>
          <w:sz w:val="32"/>
          <w:szCs w:val="32"/>
          <w:highlight w:val="none"/>
        </w:rPr>
        <w:t>场，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开展非遗主题系列宣讲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数十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场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，开展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京剧惠民演出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数十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场。</w:t>
      </w:r>
    </w:p>
    <w:p w14:paraId="79CC2B6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highlight w:val="none"/>
          <w:lang w:val="en-US" w:eastAsia="zh-CN"/>
        </w:rPr>
        <w:t>五是赋能城市发展，讲好“五宜”朝阳故事。</w:t>
      </w:r>
      <w:r>
        <w:rPr>
          <w:rFonts w:hint="default" w:ascii="Times New Roman" w:hAnsi="Times New Roman" w:eastAsia="仿宋_GB2312"/>
          <w:sz w:val="32"/>
          <w:szCs w:val="32"/>
          <w:highlight w:val="none"/>
        </w:rPr>
        <w:t>举办城市对话、会员交流、国际文化体验活动5场</w:t>
      </w:r>
      <w:r>
        <w:rPr>
          <w:rFonts w:hint="default" w:ascii="Times New Roman" w:hAnsi="Times New Roman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面向全社会征集</w:t>
      </w:r>
      <w:r>
        <w:rPr>
          <w:rFonts w:ascii="Times New Roman" w:hAnsi="Times New Roman" w:eastAsia="仿宋_GB2312"/>
          <w:sz w:val="32"/>
          <w:szCs w:val="32"/>
          <w:highlight w:val="none"/>
        </w:rPr>
        <w:t>原创歌曲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作品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数千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首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，组织</w:t>
      </w:r>
      <w:r>
        <w:rPr>
          <w:rFonts w:hint="default" w:ascii="Times New Roman" w:hAnsi="Times New Roman" w:eastAsia="仿宋_GB2312"/>
          <w:sz w:val="32"/>
          <w:szCs w:val="32"/>
          <w:highlight w:val="none"/>
        </w:rPr>
        <w:t>“五宜”朝阳诗联书画创作作品展</w:t>
      </w:r>
      <w:r>
        <w:rPr>
          <w:rFonts w:ascii="Times New Roman" w:hAnsi="Times New Roman" w:eastAsia="仿宋_GB2312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开展</w:t>
      </w:r>
      <w:r>
        <w:rPr>
          <w:rFonts w:hint="default" w:ascii="Times New Roman" w:hAnsi="Times New Roman" w:eastAsia="仿宋_GB2312"/>
          <w:sz w:val="32"/>
          <w:szCs w:val="32"/>
          <w:highlight w:val="none"/>
          <w:lang w:eastAsia="zh-CN"/>
        </w:rPr>
        <w:t>“花园朝阳</w:t>
      </w:r>
      <w:r>
        <w:rPr>
          <w:rFonts w:hint="default" w:ascii="Times New Roman" w:hAnsi="Times New Roman" w:eastAsia="仿宋_GB2312"/>
          <w:sz w:val="32"/>
          <w:szCs w:val="32"/>
          <w:highlight w:val="none"/>
          <w:lang w:val="en-US" w:eastAsia="zh-CN"/>
        </w:rPr>
        <w:t xml:space="preserve"> 同心共建</w:t>
      </w:r>
      <w:r>
        <w:rPr>
          <w:rFonts w:hint="default" w:ascii="Times New Roman" w:hAnsi="Times New Roman" w:eastAsia="仿宋_GB2312"/>
          <w:sz w:val="32"/>
          <w:szCs w:val="32"/>
          <w:highlight w:val="none"/>
          <w:lang w:eastAsia="zh-CN"/>
        </w:rPr>
        <w:t>”</w:t>
      </w:r>
      <w:r>
        <w:rPr>
          <w:rFonts w:hint="default" w:ascii="Times New Roman" w:hAnsi="Times New Roman" w:eastAsia="仿宋_GB2312"/>
          <w:sz w:val="32"/>
          <w:szCs w:val="32"/>
          <w:highlight w:val="none"/>
        </w:rPr>
        <w:t>主题征文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并刊发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/>
          <w:sz w:val="32"/>
          <w:szCs w:val="32"/>
          <w:highlight w:val="none"/>
          <w:lang w:eastAsia="zh-CN"/>
        </w:rPr>
        <w:t>讲好“五宜”朝阳故事。</w:t>
      </w:r>
    </w:p>
    <w:p w14:paraId="0EFFE72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部门整体绩效目标设立情况。</w:t>
      </w:r>
    </w:p>
    <w:p w14:paraId="505AE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</w:t>
      </w:r>
      <w:r>
        <w:rPr>
          <w:rFonts w:hint="eastAsia" w:ascii="仿宋_GB2312" w:eastAsia="仿宋_GB2312"/>
          <w:sz w:val="32"/>
          <w:szCs w:val="32"/>
          <w:lang w:eastAsia="zh-CN"/>
        </w:rPr>
        <w:t>在绩效监控过程中，</w:t>
      </w: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hint="eastAsia" w:ascii="仿宋_GB2312" w:eastAsia="仿宋_GB2312"/>
          <w:sz w:val="32"/>
          <w:szCs w:val="32"/>
          <w:lang w:eastAsia="zh-CN"/>
        </w:rPr>
        <w:t>进一步</w:t>
      </w:r>
      <w:r>
        <w:rPr>
          <w:rFonts w:hint="eastAsia" w:ascii="仿宋_GB2312" w:eastAsia="仿宋_GB2312"/>
          <w:sz w:val="32"/>
          <w:szCs w:val="32"/>
        </w:rPr>
        <w:t>强化财政支出责任，加强预算绩效全过程管理，依据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《</w:t>
      </w:r>
      <w:r>
        <w:rPr>
          <w:rFonts w:hint="eastAsia" w:ascii="仿宋_GB2312" w:hAnsi="华文中宋" w:eastAsia="仿宋_GB2312"/>
          <w:bCs/>
          <w:sz w:val="32"/>
          <w:szCs w:val="32"/>
        </w:rPr>
        <w:t>北京市预算绩效管理办法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》（</w:t>
      </w:r>
      <w:r>
        <w:rPr>
          <w:rFonts w:hint="eastAsia" w:ascii="仿宋_GB2312" w:hAnsi="黑体" w:eastAsia="仿宋_GB2312"/>
          <w:sz w:val="32"/>
          <w:szCs w:val="32"/>
        </w:rPr>
        <w:t>京财绩效〔2019〕2129号）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、</w:t>
      </w:r>
      <w:r>
        <w:rPr>
          <w:rFonts w:hint="eastAsia" w:ascii="仿宋_GB2312" w:hAnsi="黑体" w:eastAsia="仿宋_GB2312"/>
          <w:sz w:val="32"/>
          <w:szCs w:val="32"/>
        </w:rPr>
        <w:t>《北京市项目支出绩效评价管理办法》（京财绩效〔2020〕2146号）开展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黑体" w:eastAsia="仿宋_GB2312"/>
          <w:sz w:val="32"/>
          <w:szCs w:val="32"/>
        </w:rPr>
        <w:t>202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黑体" w:eastAsia="仿宋_GB2312"/>
          <w:sz w:val="32"/>
          <w:szCs w:val="32"/>
        </w:rPr>
        <w:t>年度财政支出绩效自评工作，绩效目标</w:t>
      </w:r>
      <w:r>
        <w:rPr>
          <w:rFonts w:hint="eastAsia" w:ascii="仿宋_GB2312" w:eastAsia="仿宋_GB2312"/>
          <w:sz w:val="32"/>
          <w:szCs w:val="32"/>
        </w:rPr>
        <w:t>制定主要从项目的产出数量、质量、时效、成本，以及经济效益、社会效益、生态效益、可持续影响、服务对象满意度等维度对所开展的项目进行绩效目标的设立。目标与项目职责任务匹配较高，设置合理。</w:t>
      </w:r>
    </w:p>
    <w:p w14:paraId="689894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 w14:paraId="595780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年全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8996.91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其中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，基本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5291.50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项目支出预算数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3705.41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8996.91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万元，其中，基本支出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5291.50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3705.41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100%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 w14:paraId="1DB047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 w14:paraId="4864AE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（一）产出完成情况分析</w:t>
      </w:r>
    </w:p>
    <w:p w14:paraId="7EA14E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1.产出数量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：根据要求，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19个项目均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按照全年数量指标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100%完成，完成了全年工作任务。</w:t>
      </w:r>
    </w:p>
    <w:p w14:paraId="7FDB9F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质量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：全部项目全年无质量问题，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100%按照各类要求完成工作任务。</w:t>
      </w:r>
    </w:p>
    <w:p w14:paraId="50084C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进度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：全部项目均按照支出进度完成，未出现偏差。</w:t>
      </w:r>
    </w:p>
    <w:p w14:paraId="6E9825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成本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：全部项目均按照标准，支出总成本得到合理控制。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                                                 </w:t>
      </w:r>
    </w:p>
    <w:p w14:paraId="1ACC3D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 w14:paraId="6069AE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1.经济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效益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：通过厉行节约，努力压缩各项开支，确保财政资金的安全使用。</w:t>
      </w:r>
    </w:p>
    <w:p w14:paraId="3A9911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2.社会效益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：通过项目实施，稳步推进机构改革各项工作，切实保障各项工作进展顺利。</w:t>
      </w:r>
    </w:p>
    <w:p w14:paraId="1062C8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3.环境效益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：通过项目实施，减少环境污染，努力为提高环境质量贡献力量。</w:t>
      </w:r>
    </w:p>
    <w:p w14:paraId="60BB13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4.可持续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性影响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：体现政策导向，发挥宣传文化阵地专业优势，带动宣传文化产业各项工作的可持续发展。</w:t>
      </w:r>
    </w:p>
    <w:p w14:paraId="56B951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5.服务对象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满意度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：通过项目的实施，力争老百姓对公共文化服务各项实施满意度达到较好水平。</w:t>
      </w:r>
    </w:p>
    <w:p w14:paraId="38AA5C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 w14:paraId="442548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 w14:paraId="32B006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2024年是朝阳区宣传文化中心结合实际情况，进一完善了各项财务管理制度，并有效的得到了严格的执行。</w:t>
      </w:r>
    </w:p>
    <w:p w14:paraId="5B12F2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2.资金使用合规性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：我单位严格按照各项制度执行，支出符合国家财经法规和财务管理制度规定；资金的拨付有完整的审批程序和手续；“三重一大”制度得到有效执行；资金使用无截留、挤占、虚列支出等情况。</w:t>
      </w:r>
    </w:p>
    <w:p w14:paraId="089469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基础信息完善性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：各类会计基础信息合法合规，严格按照相关要求执行，确保了会计基础信息的完整性。</w:t>
      </w:r>
    </w:p>
    <w:p w14:paraId="5CD1F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</w:rPr>
        <w:t>（二）资产管理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：我单位为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7家单位整合重组单位，2024年，实现了原单位固定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资产的划转合并，建立了规范的固定资产台帐，将全部资产录入资产信息动态管理系统，并及时更新。资产的购置、验收、入帐领用均有管理制度，落实相关资产管理人员和使用人员的职责。</w:t>
      </w:r>
    </w:p>
    <w:p w14:paraId="054F5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（三）绩效</w:t>
      </w:r>
      <w:r>
        <w:rPr>
          <w:rFonts w:ascii="楷体_GB2312" w:eastAsia="楷体_GB2312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：在财政预算资金方面，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为及时准确监控项目绩效执行情况，确保实现绩效目标，组成了由主管财务的副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主任</w:t>
      </w:r>
      <w:r>
        <w:rPr>
          <w:rFonts w:hint="eastAsia" w:ascii="仿宋_GB2312" w:hAnsi="仿宋_GB2312" w:eastAsia="仿宋_GB2312" w:cs="仿宋_GB2312"/>
          <w:sz w:val="32"/>
          <w:szCs w:val="32"/>
        </w:rPr>
        <w:t>任组长，各科室负责人组成绩效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监控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小组，共同开展绩效目标执行监控管理工作。组长负责统筹并指导绩效目标执行监控工作，组员分别负责绩效项目执行管理、绩效完成情况的监控，参与绩效管理具体工作，就项目的支出进度、预算执行、投入产出、预期效益的阶段性完成情况进行动态跟踪监控和纠偏处理并解决，负责绩效管理过程中系列的协调配合工作。</w:t>
      </w:r>
    </w:p>
    <w:p w14:paraId="62FEDA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</w:rPr>
        <w:t>（四）结转结余率</w:t>
      </w:r>
      <w:r>
        <w:rPr>
          <w:rFonts w:hint="eastAsia" w:ascii="楷体_GB2312" w:eastAsia="楷体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本年末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无财政拨款结转结余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非财政拨款结转结余。</w:t>
      </w:r>
    </w:p>
    <w:p w14:paraId="3071A5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(五）</w:t>
      </w:r>
      <w:r>
        <w:rPr>
          <w:rFonts w:hint="eastAsia" w:ascii="楷体_GB2312" w:eastAsia="楷体_GB2312"/>
          <w:sz w:val="32"/>
          <w:szCs w:val="32"/>
        </w:rPr>
        <w:t>部门</w:t>
      </w:r>
      <w:r>
        <w:rPr>
          <w:rFonts w:ascii="楷体_GB2312" w:eastAsia="楷体_GB2312"/>
          <w:sz w:val="32"/>
          <w:szCs w:val="32"/>
        </w:rPr>
        <w:t>预决算差异率</w:t>
      </w:r>
    </w:p>
    <w:p w14:paraId="543058D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20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基本支出年初预算4915.41万元，决算5291.50万元，差异率7.65%，主要原因为人员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随工作年限增长的薪级工资调整等因素，部门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算经费增加。</w:t>
      </w:r>
    </w:p>
    <w:p w14:paraId="4E3B74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20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项目支出年初预算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2426.58万元，决算3705.41万元，差异率52.7%，主要原因为安排基本建设项目，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部门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算经费增加。</w:t>
      </w:r>
    </w:p>
    <w:p w14:paraId="04C7A3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 w14:paraId="5EA68E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5" w:leftChars="50" w:firstLine="480" w:firstLineChars="150"/>
        <w:textAlignment w:val="auto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 w14:paraId="285EFE3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本年度绩效目标完成情况总体较好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hAnsi="仿宋" w:eastAsia="仿宋_GB2312"/>
          <w:sz w:val="32"/>
          <w:szCs w:val="32"/>
        </w:rPr>
        <w:t>。各项目均已完成年度整体目标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尤其是二级项目指标中社会效益指标各项目均完成很好，</w:t>
      </w:r>
      <w:r>
        <w:rPr>
          <w:rFonts w:hint="eastAsia" w:eastAsia="仿宋_GB2312"/>
          <w:sz w:val="32"/>
          <w:szCs w:val="32"/>
        </w:rPr>
        <w:t>突出了全国文明单位示范引领作用。</w:t>
      </w:r>
      <w:r>
        <w:rPr>
          <w:rFonts w:hint="eastAsia" w:ascii="Times New Roman" w:hAnsi="Times New Roman" w:eastAsia="仿宋_GB2312"/>
          <w:sz w:val="32"/>
          <w:szCs w:val="32"/>
        </w:rPr>
        <w:t>更好地发挥了</w:t>
      </w:r>
      <w:r>
        <w:rPr>
          <w:rFonts w:hint="eastAsia" w:eastAsia="仿宋_GB2312"/>
          <w:sz w:val="32"/>
          <w:szCs w:val="32"/>
        </w:rPr>
        <w:t>本单位</w:t>
      </w:r>
      <w:r>
        <w:rPr>
          <w:rFonts w:hint="eastAsia" w:ascii="Times New Roman" w:hAnsi="Times New Roman" w:eastAsia="仿宋_GB2312"/>
          <w:sz w:val="32"/>
          <w:szCs w:val="32"/>
        </w:rPr>
        <w:t>公共文化设施、爱国主义教育基地作用，发挥了宣传思想文化引领作用，广泛践行社会主义核心价值观，持续推进、做好发展成果展览展示、公共文化惠民服务、非物</w:t>
      </w:r>
      <w:r>
        <w:rPr>
          <w:rFonts w:hint="eastAsia" w:ascii="仿宋_GB2312" w:hAnsi="仿宋_GB2312" w:eastAsia="仿宋_GB2312" w:cs="仿宋_GB2312"/>
          <w:sz w:val="32"/>
          <w:szCs w:val="32"/>
        </w:rPr>
        <w:t>质文化遗产传承保护，</w:t>
      </w:r>
      <w:r>
        <w:rPr>
          <w:rFonts w:hint="eastAsia" w:ascii="Times New Roman" w:hAnsi="Times New Roman" w:eastAsia="仿宋_GB2312"/>
          <w:sz w:val="32"/>
          <w:szCs w:val="32"/>
        </w:rPr>
        <w:t>精心策划群众文化、市民教育活动，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非遗传习所等品牌项目，讲好朝阳发展成就，弘扬传统文化，增强文化自信，激发文化创新创造活力。</w:t>
      </w:r>
    </w:p>
    <w:p w14:paraId="7FC8BA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（二）存在的问题及原因分析</w:t>
      </w:r>
    </w:p>
    <w:p w14:paraId="379FF8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存在的问题主要表现在：一是部分项目存在绩效目标模糊的情况，难以量化；二是绩效自评、公开、结果运用等方面不够完善。</w:t>
      </w:r>
    </w:p>
    <w:p w14:paraId="07486B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六、措施建议</w:t>
      </w:r>
    </w:p>
    <w:p w14:paraId="3A755E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（一）进一步强化预算管理意识，提高预算编制的科学性、合理性、科学性、准确性和可控性。</w:t>
      </w:r>
    </w:p>
    <w:p w14:paraId="59D5F8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（二）进一步推进预算绩效管理信息系统建设，完善绩效管理相关制度，提高可操作性。</w:t>
      </w:r>
    </w:p>
    <w:p w14:paraId="7ED23F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（三）构建财务科室和业务科室共同参与、协调配合的绩效评价工作机制，落实“谁干事谁花钱、谁花钱谁担责”的权责机制，提高财政资金使用效益。</w:t>
      </w:r>
    </w:p>
    <w:p w14:paraId="28E74CFD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E393B">
    <w:pPr>
      <w:pStyle w:val="4"/>
      <w:jc w:val="right"/>
      <w:rPr>
        <w:rFonts w:ascii="宋体" w:hAnsi="宋体"/>
        <w:sz w:val="28"/>
        <w:szCs w:val="28"/>
      </w:rPr>
    </w:pPr>
  </w:p>
  <w:p w14:paraId="5B463E1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5A81B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16CE50"/>
    <w:multiLevelType w:val="singleLevel"/>
    <w:tmpl w:val="1616CE50"/>
    <w:lvl w:ilvl="0" w:tentative="0">
      <w:start w:val="2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D39DF"/>
    <w:rsid w:val="001C7834"/>
    <w:rsid w:val="0057202C"/>
    <w:rsid w:val="005E3946"/>
    <w:rsid w:val="00B03B70"/>
    <w:rsid w:val="00CF07EE"/>
    <w:rsid w:val="00E617B2"/>
    <w:rsid w:val="00F42C33"/>
    <w:rsid w:val="030663D5"/>
    <w:rsid w:val="06B70F10"/>
    <w:rsid w:val="075E313A"/>
    <w:rsid w:val="0A984BB5"/>
    <w:rsid w:val="0AF62277"/>
    <w:rsid w:val="0B1422B9"/>
    <w:rsid w:val="0F890F70"/>
    <w:rsid w:val="110E3732"/>
    <w:rsid w:val="13122C2F"/>
    <w:rsid w:val="18351C95"/>
    <w:rsid w:val="1A3A7BAD"/>
    <w:rsid w:val="1CFA34F8"/>
    <w:rsid w:val="1F7E4C34"/>
    <w:rsid w:val="204A043C"/>
    <w:rsid w:val="244514B2"/>
    <w:rsid w:val="253B299A"/>
    <w:rsid w:val="255D778F"/>
    <w:rsid w:val="269A2DE9"/>
    <w:rsid w:val="2B405F6E"/>
    <w:rsid w:val="2E32012A"/>
    <w:rsid w:val="2F321339"/>
    <w:rsid w:val="308E2433"/>
    <w:rsid w:val="311741D6"/>
    <w:rsid w:val="31D85364"/>
    <w:rsid w:val="32140EF2"/>
    <w:rsid w:val="32B11D6B"/>
    <w:rsid w:val="33F94F07"/>
    <w:rsid w:val="39461AFC"/>
    <w:rsid w:val="3AB5356F"/>
    <w:rsid w:val="3DFA317F"/>
    <w:rsid w:val="3EED47C8"/>
    <w:rsid w:val="3F9745AB"/>
    <w:rsid w:val="40B90E06"/>
    <w:rsid w:val="42612C39"/>
    <w:rsid w:val="48E924A4"/>
    <w:rsid w:val="4ED4792C"/>
    <w:rsid w:val="4EF97CB9"/>
    <w:rsid w:val="503E6C32"/>
    <w:rsid w:val="559F1A8D"/>
    <w:rsid w:val="55F65391"/>
    <w:rsid w:val="5B1D39DF"/>
    <w:rsid w:val="5D6B74D4"/>
    <w:rsid w:val="5E423AFE"/>
    <w:rsid w:val="61E814E9"/>
    <w:rsid w:val="642D3D62"/>
    <w:rsid w:val="65F07AC3"/>
    <w:rsid w:val="67321449"/>
    <w:rsid w:val="69C91FDD"/>
    <w:rsid w:val="6BCE135A"/>
    <w:rsid w:val="6C5818C7"/>
    <w:rsid w:val="6DB9203D"/>
    <w:rsid w:val="6DDE33AA"/>
    <w:rsid w:val="6F215C44"/>
    <w:rsid w:val="72F956FA"/>
    <w:rsid w:val="74367F1C"/>
    <w:rsid w:val="75AF036A"/>
    <w:rsid w:val="76051E1C"/>
    <w:rsid w:val="7B0A2962"/>
    <w:rsid w:val="7DBA7990"/>
    <w:rsid w:val="7F941D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字符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3134</Words>
  <Characters>3300</Characters>
  <Lines>3</Lines>
  <Paragraphs>1</Paragraphs>
  <TotalTime>12</TotalTime>
  <ScaleCrop>false</ScaleCrop>
  <LinksUpToDate>false</LinksUpToDate>
  <CharactersWithSpaces>3361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2024-01-18T03:00:00Z</dcterms:created>
  <dc:creator>Administrator</dc:creator>
  <cp:lastModifiedBy>艳</cp:lastModifiedBy>
  <cp:lastPrinted>2025-01-16T06:24:00Z</cp:lastPrinted>
  <dcterms:modified xsi:type="dcterms:W3CDTF">2025-09-10T07:01:08Z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eyJoZGlkIjoiMzE5ZTNmNGJkZDJmY2E1NmE3NTgyOTFhMzg1ZjJmOWMiLCJ1c2VySWQiOiI5NDE1MDI0MzUifQ==</vt:lpwstr>
  </property>
  <property fmtid="{D5CDD505-2E9C-101B-9397-08002B2CF9AE}" pid="4" name="ICV">
    <vt:lpwstr>34CF464A31844BC981ECCE481A7F72B5_12</vt:lpwstr>
  </property>
</Properties>
</file>